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94" w:rsidRDefault="00C91994" w:rsidP="00C91994"/>
    <w:p w:rsidR="00C91994" w:rsidRPr="00280C5D" w:rsidRDefault="00C91994" w:rsidP="00C91994"/>
    <w:p w:rsidR="00C91994" w:rsidRDefault="00C91994" w:rsidP="00C91994">
      <w:pPr>
        <w:rPr>
          <w:noProof/>
        </w:rPr>
      </w:pPr>
      <w:r>
        <w:rPr>
          <w:noProof/>
          <w:lang w:val="fr-BE" w:eastAsia="zh-TW"/>
        </w:rPr>
        <w:drawing>
          <wp:anchor distT="0" distB="0" distL="114300" distR="114300" simplePos="0" relativeHeight="251659264" behindDoc="1" locked="0" layoutInCell="1" allowOverlap="1" wp14:anchorId="674C709A" wp14:editId="7A88B083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2" name="Image 2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fr-BE"/>
        </w:rPr>
        <w:fldChar w:fldCharType="begin"/>
      </w:r>
      <w:r>
        <w:rPr>
          <w:lang w:val="fr-BE"/>
        </w:rPr>
        <w:instrText xml:space="preserve"> TOC \o "1-2" \n \h \z \u </w:instrText>
      </w:r>
      <w:r>
        <w:rPr>
          <w:lang w:val="fr-BE"/>
        </w:rPr>
        <w:fldChar w:fldCharType="separate"/>
      </w:r>
    </w:p>
    <w:p w:rsidR="00C91994" w:rsidRPr="006762CC" w:rsidRDefault="00C91994" w:rsidP="00C91994">
      <w:pPr>
        <w:rPr>
          <w:szCs w:val="22"/>
          <w:lang w:val="fr-BE"/>
        </w:rPr>
      </w:pPr>
      <w:r>
        <w:rPr>
          <w:lang w:val="fr-BE"/>
        </w:rPr>
        <w:fldChar w:fldCharType="end"/>
      </w:r>
    </w:p>
    <w:p w:rsidR="00C91994" w:rsidRPr="00172871" w:rsidRDefault="00C91994" w:rsidP="00C91994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2016 / N°</w:t>
      </w:r>
      <w:r w:rsidR="00390600">
        <w:rPr>
          <w:sz w:val="28"/>
          <w:szCs w:val="28"/>
        </w:rPr>
        <w:t>39</w:t>
      </w:r>
    </w:p>
    <w:p w:rsidR="00C91994" w:rsidRDefault="00C91994" w:rsidP="00C91994">
      <w:pPr>
        <w:rPr>
          <w:lang w:val="fr-BE"/>
        </w:rPr>
      </w:pPr>
      <w:r>
        <w:rPr>
          <w:szCs w:val="22"/>
          <w:lang w:val="fr-BE"/>
        </w:rPr>
        <w:t>LL/Ch. D/</w:t>
      </w:r>
      <w:r w:rsidR="004E6387">
        <w:rPr>
          <w:szCs w:val="22"/>
          <w:lang w:val="fr-BE"/>
        </w:rPr>
        <w:t>117</w:t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  <w:t xml:space="preserve">              </w:t>
      </w:r>
      <w:r w:rsidR="00390600">
        <w:rPr>
          <w:lang w:val="fr-BE"/>
        </w:rPr>
        <w:t>Bruxelles, le 28</w:t>
      </w:r>
      <w:r>
        <w:rPr>
          <w:lang w:val="fr-BE"/>
        </w:rPr>
        <w:t xml:space="preserve"> octobre 2016</w:t>
      </w:r>
    </w:p>
    <w:p w:rsidR="00C91994" w:rsidRDefault="00C91994" w:rsidP="00C91994">
      <w:pPr>
        <w:tabs>
          <w:tab w:val="left" w:pos="7170"/>
        </w:tabs>
        <w:ind w:left="-900"/>
        <w:rPr>
          <w:lang w:val="fr-BE"/>
        </w:rPr>
      </w:pPr>
    </w:p>
    <w:p w:rsidR="00C91994" w:rsidRDefault="00C91994" w:rsidP="00C91994">
      <w:pPr>
        <w:rPr>
          <w:lang w:val="fr-BE"/>
        </w:rPr>
      </w:pPr>
    </w:p>
    <w:p w:rsidR="00C91994" w:rsidRDefault="00C91994" w:rsidP="00C91994">
      <w:pPr>
        <w:pBdr>
          <w:top w:val="single" w:sz="4" w:space="1" w:color="auto"/>
        </w:pBdr>
        <w:rPr>
          <w:b/>
          <w:lang w:val="fr-BE"/>
        </w:rPr>
      </w:pPr>
    </w:p>
    <w:p w:rsidR="00C91994" w:rsidRDefault="00C91994" w:rsidP="00C91994">
      <w:pPr>
        <w:pStyle w:val="TM1"/>
        <w:rPr>
          <w:b/>
          <w:smallCaps/>
          <w:lang w:val="fr-BE"/>
        </w:rPr>
      </w:pPr>
    </w:p>
    <w:bookmarkStart w:id="0" w:name="_GoBack"/>
    <w:bookmarkEnd w:id="0"/>
    <w:p w:rsidR="003A2F8D" w:rsidRDefault="00C91994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r>
        <w:rPr>
          <w:b/>
          <w:smallCaps/>
          <w:lang w:val="fr-BE"/>
        </w:rPr>
        <w:fldChar w:fldCharType="begin"/>
      </w:r>
      <w:r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65420593" w:history="1">
        <w:r w:rsidR="003A2F8D" w:rsidRPr="0066338F">
          <w:rPr>
            <w:rStyle w:val="Lienhypertexte"/>
            <w:noProof/>
          </w:rPr>
          <w:t>1.</w:t>
        </w:r>
        <w:r w:rsidR="003A2F8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3A2F8D" w:rsidRPr="0066338F">
          <w:rPr>
            <w:rStyle w:val="Lienhypertexte"/>
            <w:noProof/>
          </w:rPr>
          <w:t>COMMUNIQUES DE LA LBFA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594" w:history="1">
        <w:r w:rsidRPr="0066338F">
          <w:rPr>
            <w:rStyle w:val="Lienhypertexte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Directive concernant le port des dossards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595" w:history="1">
        <w:r w:rsidRPr="0066338F">
          <w:rPr>
            <w:rStyle w:val="Lienhypertexte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Cahier des Championnats d’Hiver 2017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596" w:history="1">
        <w:r w:rsidRPr="0066338F">
          <w:rPr>
            <w:rStyle w:val="Lienhypertexte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Appel à candidatures – Groupe de Travail « Masters »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597" w:history="1">
        <w:r w:rsidRPr="0066338F">
          <w:rPr>
            <w:rStyle w:val="Lienhypertexte"/>
          </w:rPr>
          <w:t>1.4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Information importante pour les J.A. - Rapports Juge Arbitre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598" w:history="1">
        <w:r w:rsidRPr="0066338F">
          <w:rPr>
            <w:rStyle w:val="Lienhypertexte"/>
          </w:rPr>
          <w:t>1.5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Nouveau site VAL</w:t>
        </w:r>
      </w:hyperlink>
    </w:p>
    <w:p w:rsidR="003A2F8D" w:rsidRDefault="003A2F8D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hyperlink w:anchor="_Toc465420599" w:history="1">
        <w:r w:rsidRPr="0066338F">
          <w:rPr>
            <w:rStyle w:val="Lienhypertexte"/>
            <w:noProof/>
          </w:rPr>
          <w:t>2.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Pr="0066338F">
          <w:rPr>
            <w:rStyle w:val="Lienhypertexte"/>
            <w:noProof/>
          </w:rPr>
          <w:t>cOMMUNIQUE DE LA DIRECTION TECHNIQUE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600" w:history="1">
        <w:r w:rsidRPr="0066338F">
          <w:rPr>
            <w:rStyle w:val="Lienhypertexte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Formulaire de location de perche 2016 - 2017</w:t>
        </w:r>
      </w:hyperlink>
    </w:p>
    <w:p w:rsidR="003A2F8D" w:rsidRDefault="003A2F8D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hyperlink w:anchor="_Toc465420601" w:history="1">
        <w:r w:rsidRPr="0066338F">
          <w:rPr>
            <w:rStyle w:val="Lienhypertexte"/>
            <w:noProof/>
          </w:rPr>
          <w:t>3.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Pr="0066338F">
          <w:rPr>
            <w:rStyle w:val="Lienhypertexte"/>
            <w:noProof/>
          </w:rPr>
          <w:t>cOMMUNIQUES DES CERCLES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602" w:history="1">
        <w:r w:rsidRPr="0066338F">
          <w:rPr>
            <w:rStyle w:val="Lienhypertexte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Communiqué du SCA – annulation du meeting de clôture (n°190)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603" w:history="1">
        <w:r w:rsidRPr="0066338F">
          <w:rPr>
            <w:rStyle w:val="Lienhypertexte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Communiqué du CAF – changement de secrétaire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604" w:history="1">
        <w:r w:rsidRPr="0066338F">
          <w:rPr>
            <w:rStyle w:val="Lienhypertexte"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Communiqué de l’ACLO – changement de secrétaire</w:t>
        </w:r>
      </w:hyperlink>
    </w:p>
    <w:p w:rsidR="003A2F8D" w:rsidRDefault="003A2F8D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65420605" w:history="1">
        <w:r w:rsidRPr="0066338F">
          <w:rPr>
            <w:rStyle w:val="Lienhypertexte"/>
          </w:rPr>
          <w:t>3.4.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66338F">
          <w:rPr>
            <w:rStyle w:val="Lienhypertexte"/>
          </w:rPr>
          <w:t>Communiqué de l’ARCH – cross du dimanche 6 novembre</w:t>
        </w:r>
      </w:hyperlink>
    </w:p>
    <w:p w:rsidR="00C91994" w:rsidRDefault="00C91994" w:rsidP="00C91994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C91994" w:rsidRDefault="00C91994" w:rsidP="00C91994">
      <w:pPr>
        <w:pBdr>
          <w:top w:val="single" w:sz="4" w:space="1" w:color="auto"/>
        </w:pBdr>
        <w:rPr>
          <w:b/>
          <w:lang w:val="fr-BE"/>
        </w:rPr>
      </w:pPr>
    </w:p>
    <w:p w:rsidR="00C91994" w:rsidRDefault="00C91994" w:rsidP="00C91994">
      <w:pPr>
        <w:pStyle w:val="Titre1"/>
        <w:tabs>
          <w:tab w:val="clear" w:pos="1440"/>
          <w:tab w:val="num" w:pos="360"/>
        </w:tabs>
        <w:ind w:left="0"/>
      </w:pPr>
      <w:bookmarkStart w:id="1" w:name="_Toc465420593"/>
      <w:r>
        <w:t>COMMUNIQUES DE LA LBFA</w:t>
      </w:r>
      <w:bookmarkEnd w:id="1"/>
    </w:p>
    <w:p w:rsidR="00C91994" w:rsidRDefault="005B187D" w:rsidP="00C91994">
      <w:pPr>
        <w:pStyle w:val="Titre2"/>
      </w:pPr>
      <w:bookmarkStart w:id="2" w:name="_Toc465420594"/>
      <w:r>
        <w:t>Directive</w:t>
      </w:r>
      <w:r w:rsidR="006B3FE6">
        <w:t xml:space="preserve"> concernant le port des dossards</w:t>
      </w:r>
      <w:bookmarkEnd w:id="2"/>
    </w:p>
    <w:p w:rsidR="00C91994" w:rsidRDefault="005B187D" w:rsidP="005B187D">
      <w:pPr>
        <w:rPr>
          <w:bCs/>
          <w:szCs w:val="20"/>
        </w:rPr>
      </w:pPr>
      <w:r>
        <w:rPr>
          <w:bCs/>
          <w:szCs w:val="20"/>
          <w:lang w:val="fr-BE"/>
        </w:rPr>
        <w:t>Par décision du Conseil d’Administration de la LRBA, le numéro de dossard doit dorénavant  toujours être porté devant à l’exception des athlètes participants au saut en hauteur et/ou à la perche qui ont le choix de porter le dossard devant ou derrière.</w:t>
      </w:r>
      <w:r w:rsidR="00C91994">
        <w:rPr>
          <w:bCs/>
          <w:szCs w:val="20"/>
        </w:rPr>
        <w:t xml:space="preserve"> </w:t>
      </w:r>
    </w:p>
    <w:p w:rsidR="00B223AE" w:rsidRDefault="00B223AE" w:rsidP="005B187D">
      <w:pPr>
        <w:rPr>
          <w:bCs/>
          <w:szCs w:val="20"/>
        </w:rPr>
      </w:pPr>
    </w:p>
    <w:p w:rsidR="00B223AE" w:rsidRDefault="00B223AE" w:rsidP="00B223AE">
      <w:pPr>
        <w:pStyle w:val="Titre2"/>
      </w:pPr>
      <w:bookmarkStart w:id="3" w:name="_Toc465420595"/>
      <w:r>
        <w:t>Cahier des Championnats d’Hiver 2017</w:t>
      </w:r>
      <w:bookmarkEnd w:id="3"/>
    </w:p>
    <w:p w:rsidR="00B223AE" w:rsidRPr="00B223AE" w:rsidRDefault="00B223AE" w:rsidP="005B187D">
      <w:pPr>
        <w:rPr>
          <w:bCs/>
          <w:szCs w:val="20"/>
          <w:lang w:val="fr-BE"/>
        </w:rPr>
      </w:pPr>
      <w:r>
        <w:rPr>
          <w:bCs/>
          <w:szCs w:val="20"/>
          <w:lang w:val="fr-BE"/>
        </w:rPr>
        <w:t>Veuillez trouver, en annexe à la présente, le cahier des Championnats d’Hiver 2017.</w:t>
      </w:r>
    </w:p>
    <w:p w:rsidR="00C91994" w:rsidRDefault="006B3FE6" w:rsidP="00C91994">
      <w:pPr>
        <w:pStyle w:val="Titre2"/>
      </w:pPr>
      <w:bookmarkStart w:id="4" w:name="_Toc465420596"/>
      <w:r>
        <w:t>Appel à candidatures –</w:t>
      </w:r>
      <w:r w:rsidR="005B187D">
        <w:t xml:space="preserve"> Groupe de Travail</w:t>
      </w:r>
      <w:r>
        <w:t xml:space="preserve"> </w:t>
      </w:r>
      <w:r w:rsidR="005B187D">
        <w:t>« </w:t>
      </w:r>
      <w:r>
        <w:t>Masters</w:t>
      </w:r>
      <w:r w:rsidR="005B187D">
        <w:t> »</w:t>
      </w:r>
      <w:bookmarkEnd w:id="4"/>
    </w:p>
    <w:p w:rsidR="00C91994" w:rsidRPr="007E5A48" w:rsidRDefault="005B187D" w:rsidP="007E5A48">
      <w:pPr>
        <w:rPr>
          <w:bCs/>
          <w:szCs w:val="20"/>
        </w:rPr>
      </w:pPr>
      <w:r>
        <w:rPr>
          <w:bCs/>
          <w:szCs w:val="20"/>
        </w:rPr>
        <w:t>Un appel à candidatures est lancé pour ce groupe de travail. Les candida</w:t>
      </w:r>
      <w:r w:rsidR="007E5A48">
        <w:rPr>
          <w:bCs/>
          <w:szCs w:val="20"/>
        </w:rPr>
        <w:t xml:space="preserve">tures </w:t>
      </w:r>
      <w:r>
        <w:rPr>
          <w:bCs/>
          <w:szCs w:val="20"/>
        </w:rPr>
        <w:t xml:space="preserve">doivent être en possession de la LBFA pour le </w:t>
      </w:r>
      <w:r w:rsidR="005E528A">
        <w:rPr>
          <w:bCs/>
          <w:szCs w:val="20"/>
        </w:rPr>
        <w:t xml:space="preserve">mardi 15 novembre </w:t>
      </w:r>
      <w:r>
        <w:rPr>
          <w:bCs/>
          <w:szCs w:val="20"/>
        </w:rPr>
        <w:t>au plus tard. Elles doivent être signées par le cand</w:t>
      </w:r>
      <w:r w:rsidR="007E5A48">
        <w:rPr>
          <w:bCs/>
          <w:szCs w:val="20"/>
        </w:rPr>
        <w:t>idat et le secrétaire du cercle. Un Président du groupe de travail sera nommé en son sein.</w:t>
      </w:r>
    </w:p>
    <w:p w:rsidR="0080150D" w:rsidRPr="0080150D" w:rsidRDefault="006719FB" w:rsidP="0080150D">
      <w:pPr>
        <w:pStyle w:val="Titre2"/>
      </w:pPr>
      <w:bookmarkStart w:id="5" w:name="_Toc465420597"/>
      <w:r>
        <w:lastRenderedPageBreak/>
        <w:t xml:space="preserve">Information importante pour les J.A. - </w:t>
      </w:r>
      <w:r w:rsidR="00C91994">
        <w:t>Rapports Juge Arbitre</w:t>
      </w:r>
      <w:bookmarkEnd w:id="5"/>
    </w:p>
    <w:p w:rsidR="004F1FF2" w:rsidRDefault="0080150D" w:rsidP="00197498">
      <w:pPr>
        <w:rPr>
          <w:bCs/>
          <w:szCs w:val="20"/>
          <w:lang w:val="fr-BE"/>
        </w:rPr>
      </w:pPr>
      <w:r>
        <w:rPr>
          <w:bCs/>
          <w:szCs w:val="20"/>
          <w:lang w:val="fr-BE"/>
        </w:rPr>
        <w:t xml:space="preserve">Les J.A. sont invités à téléchargés eux-mêmes les rapports et annexes nécessaires disponibles sur le site de </w:t>
      </w:r>
      <w:r w:rsidR="004F1FF2">
        <w:rPr>
          <w:bCs/>
          <w:szCs w:val="20"/>
          <w:lang w:val="fr-BE"/>
        </w:rPr>
        <w:t>la LBFA (Clubs=&gt;Devenez officiel !=&gt;Fichiers utiles aux officiels</w:t>
      </w:r>
      <w:r>
        <w:rPr>
          <w:bCs/>
          <w:szCs w:val="20"/>
          <w:lang w:val="fr-BE"/>
        </w:rPr>
        <w:t xml:space="preserve">). </w:t>
      </w:r>
    </w:p>
    <w:p w:rsidR="004F1FF2" w:rsidRDefault="004F1FF2" w:rsidP="00197498">
      <w:pPr>
        <w:rPr>
          <w:bCs/>
          <w:szCs w:val="20"/>
          <w:lang w:val="fr-BE"/>
        </w:rPr>
      </w:pPr>
    </w:p>
    <w:p w:rsidR="00197498" w:rsidRDefault="0080150D" w:rsidP="00197498">
      <w:pPr>
        <w:rPr>
          <w:bCs/>
          <w:szCs w:val="20"/>
          <w:lang w:val="fr-BE"/>
        </w:rPr>
      </w:pPr>
      <w:r>
        <w:rPr>
          <w:bCs/>
          <w:szCs w:val="20"/>
          <w:lang w:val="fr-BE"/>
        </w:rPr>
        <w:t>Néanmoins, il reste toujours la possibilité de demander l’impression via la ligue, cette demande doit toutefois se faire à titre exceptionnel et dans les meilleurs délais.</w:t>
      </w:r>
    </w:p>
    <w:p w:rsidR="004F1FF2" w:rsidRDefault="004F1FF2" w:rsidP="00197498">
      <w:pPr>
        <w:rPr>
          <w:bCs/>
          <w:szCs w:val="20"/>
          <w:lang w:val="fr-BE"/>
        </w:rPr>
      </w:pPr>
    </w:p>
    <w:p w:rsidR="004F1FF2" w:rsidRDefault="004F1FF2" w:rsidP="00197498">
      <w:pPr>
        <w:rPr>
          <w:bCs/>
          <w:szCs w:val="20"/>
          <w:lang w:val="fr-BE"/>
        </w:rPr>
      </w:pPr>
      <w:r>
        <w:rPr>
          <w:bCs/>
          <w:szCs w:val="20"/>
          <w:lang w:val="fr-BE"/>
        </w:rPr>
        <w:t>Les enveloppes (sans les documents) seront adressées aux secrétaires de club (un envoi par saison).</w:t>
      </w:r>
    </w:p>
    <w:p w:rsidR="00197498" w:rsidRPr="00AF3D6E" w:rsidRDefault="00197498" w:rsidP="00197498">
      <w:pPr>
        <w:pStyle w:val="Titre2"/>
      </w:pPr>
      <w:bookmarkStart w:id="6" w:name="_Toc465420598"/>
      <w:r>
        <w:t>Nouveau site VAL</w:t>
      </w:r>
      <w:bookmarkEnd w:id="6"/>
    </w:p>
    <w:p w:rsidR="00197498" w:rsidRPr="004D527A" w:rsidRDefault="00197498" w:rsidP="00C91994">
      <w:pPr>
        <w:rPr>
          <w:bCs/>
          <w:szCs w:val="20"/>
          <w:lang w:val="fr-BE"/>
        </w:rPr>
      </w:pPr>
      <w:r>
        <w:rPr>
          <w:bCs/>
          <w:szCs w:val="20"/>
          <w:lang w:val="fr-BE"/>
        </w:rPr>
        <w:t xml:space="preserve">La </w:t>
      </w:r>
      <w:proofErr w:type="spellStart"/>
      <w:r>
        <w:rPr>
          <w:bCs/>
          <w:szCs w:val="20"/>
          <w:lang w:val="fr-BE"/>
        </w:rPr>
        <w:t>Vlaamse</w:t>
      </w:r>
      <w:proofErr w:type="spellEnd"/>
      <w:r>
        <w:rPr>
          <w:bCs/>
          <w:szCs w:val="20"/>
          <w:lang w:val="fr-BE"/>
        </w:rPr>
        <w:t xml:space="preserve"> </w:t>
      </w:r>
      <w:proofErr w:type="spellStart"/>
      <w:r>
        <w:rPr>
          <w:bCs/>
          <w:szCs w:val="20"/>
          <w:lang w:val="fr-BE"/>
        </w:rPr>
        <w:t>Athletiekliga</w:t>
      </w:r>
      <w:proofErr w:type="spellEnd"/>
      <w:r>
        <w:rPr>
          <w:bCs/>
          <w:szCs w:val="20"/>
          <w:lang w:val="fr-BE"/>
        </w:rPr>
        <w:t xml:space="preserve"> a un nouveau site internet : www.atletiek.be</w:t>
      </w:r>
    </w:p>
    <w:p w:rsidR="00C91994" w:rsidRDefault="00C91994" w:rsidP="00C91994">
      <w:pPr>
        <w:pStyle w:val="Titre1"/>
        <w:tabs>
          <w:tab w:val="clear" w:pos="1440"/>
          <w:tab w:val="num" w:pos="360"/>
        </w:tabs>
        <w:ind w:left="0"/>
      </w:pPr>
      <w:bookmarkStart w:id="7" w:name="_Toc465420599"/>
      <w:r>
        <w:t>cOMMUNIQUE DE LA DIRECTION TECHNIQUE</w:t>
      </w:r>
      <w:bookmarkEnd w:id="7"/>
    </w:p>
    <w:p w:rsidR="00C91994" w:rsidRPr="001D4B9F" w:rsidRDefault="00C91994" w:rsidP="00C91994">
      <w:pPr>
        <w:pStyle w:val="Titre2"/>
      </w:pPr>
      <w:bookmarkStart w:id="8" w:name="_Toc465420600"/>
      <w:r>
        <w:t>Formulaire de location de perche 2016 - 2017</w:t>
      </w:r>
      <w:bookmarkEnd w:id="8"/>
    </w:p>
    <w:p w:rsidR="00C91994" w:rsidRDefault="00C91994" w:rsidP="00C91994">
      <w:pPr>
        <w:rPr>
          <w:rFonts w:cs="Arial"/>
        </w:rPr>
      </w:pPr>
      <w:r>
        <w:rPr>
          <w:rFonts w:cs="Arial"/>
        </w:rPr>
        <w:t>Veuillez trouver, en annexe à la présente, le formulaire de location de perche 2016-2017.Les perches, dont vous avez bénéficié pour la saison 2015-2016, doivent rentrer au dépôt central de prêt de matériel sportif ADEPS, pour vérification et entretien.</w:t>
      </w:r>
    </w:p>
    <w:p w:rsidR="00C91994" w:rsidRDefault="00C91994" w:rsidP="00C91994">
      <w:pPr>
        <w:pStyle w:val="Titre1"/>
        <w:tabs>
          <w:tab w:val="clear" w:pos="1440"/>
          <w:tab w:val="num" w:pos="360"/>
        </w:tabs>
        <w:ind w:left="0"/>
      </w:pPr>
      <w:bookmarkStart w:id="9" w:name="_Toc465420601"/>
      <w:r>
        <w:t>cOMMUNIQUE</w:t>
      </w:r>
      <w:r w:rsidR="006B3FE6">
        <w:t>S</w:t>
      </w:r>
      <w:r>
        <w:t xml:space="preserve"> DES CERCLES</w:t>
      </w:r>
      <w:bookmarkEnd w:id="9"/>
    </w:p>
    <w:p w:rsidR="00C91994" w:rsidRPr="001D4B9F" w:rsidRDefault="003B6E3C" w:rsidP="00C91994">
      <w:pPr>
        <w:pStyle w:val="Titre2"/>
      </w:pPr>
      <w:bookmarkStart w:id="10" w:name="_Toc465420602"/>
      <w:r>
        <w:t>Communiqué du SCA</w:t>
      </w:r>
      <w:r w:rsidR="00C91994">
        <w:t xml:space="preserve"> – </w:t>
      </w:r>
      <w:r>
        <w:t>annulation du meeting de clôture (n°190)</w:t>
      </w:r>
      <w:bookmarkEnd w:id="10"/>
    </w:p>
    <w:p w:rsidR="00C91994" w:rsidRDefault="00C91994" w:rsidP="00C91994">
      <w:pPr>
        <w:rPr>
          <w:rFonts w:cs="Arial"/>
        </w:rPr>
      </w:pPr>
      <w:r>
        <w:rPr>
          <w:rFonts w:cs="Arial"/>
        </w:rPr>
        <w:t xml:space="preserve">Veuillez prendre note </w:t>
      </w:r>
      <w:r w:rsidR="00D25AD6">
        <w:rPr>
          <w:rFonts w:cs="Arial"/>
        </w:rPr>
        <w:t>de l’annulation du meeting n°190 du dimanche 30 octobre 2016.</w:t>
      </w:r>
    </w:p>
    <w:p w:rsidR="00C91994" w:rsidRPr="001D4B9F" w:rsidRDefault="00C91994" w:rsidP="00C91994">
      <w:pPr>
        <w:pStyle w:val="Titre2"/>
      </w:pPr>
      <w:bookmarkStart w:id="11" w:name="_Toc465420603"/>
      <w:r>
        <w:t>Communiqué du C</w:t>
      </w:r>
      <w:r w:rsidR="003633C3">
        <w:t>AF – changement de secrétaire</w:t>
      </w:r>
      <w:bookmarkEnd w:id="11"/>
    </w:p>
    <w:p w:rsidR="003633C3" w:rsidRDefault="00C91994" w:rsidP="003633C3">
      <w:pPr>
        <w:rPr>
          <w:rFonts w:cs="Arial"/>
        </w:rPr>
      </w:pPr>
      <w:r>
        <w:rPr>
          <w:rFonts w:cs="Arial"/>
        </w:rPr>
        <w:t>V</w:t>
      </w:r>
      <w:r w:rsidR="003633C3">
        <w:rPr>
          <w:rFonts w:cs="Arial"/>
        </w:rPr>
        <w:t>euillez noter que la Secrétaire du CAF est désormais Mlle Patricia DUMONT, rue de Noël 1944, n°2, à 6900 Marche-en-Famenne</w:t>
      </w:r>
      <w:r>
        <w:rPr>
          <w:rFonts w:cs="Arial"/>
        </w:rPr>
        <w:t>.</w:t>
      </w:r>
      <w:r w:rsidR="003633C3">
        <w:rPr>
          <w:rFonts w:cs="Arial"/>
        </w:rPr>
        <w:t xml:space="preserve"> Son email est le suivant : </w:t>
      </w:r>
      <w:hyperlink r:id="rId9" w:history="1">
        <w:r w:rsidR="003633C3" w:rsidRPr="00FA30A1">
          <w:rPr>
            <w:rStyle w:val="Lienhypertexte"/>
            <w:rFonts w:cs="Arial"/>
          </w:rPr>
          <w:t>patriciadumont16@gmail.com</w:t>
        </w:r>
      </w:hyperlink>
    </w:p>
    <w:p w:rsidR="00C91994" w:rsidRDefault="00C45901" w:rsidP="00C91994">
      <w:pPr>
        <w:pStyle w:val="Titre2"/>
      </w:pPr>
      <w:bookmarkStart w:id="12" w:name="_Toc465420604"/>
      <w:r>
        <w:t>Communiqué de l’ACLO</w:t>
      </w:r>
      <w:r w:rsidR="00C91994">
        <w:t xml:space="preserve"> – </w:t>
      </w:r>
      <w:r>
        <w:t>changement de secrétaire</w:t>
      </w:r>
      <w:bookmarkEnd w:id="12"/>
    </w:p>
    <w:p w:rsidR="00C45901" w:rsidRPr="00C45901" w:rsidRDefault="00C45901" w:rsidP="00C45901">
      <w:pPr>
        <w:rPr>
          <w:lang w:val="fr-BE" w:eastAsia="en-US"/>
        </w:rPr>
      </w:pPr>
      <w:r>
        <w:rPr>
          <w:lang w:val="fr-BE" w:eastAsia="en-US"/>
        </w:rPr>
        <w:t xml:space="preserve">Les coordonnées du nouveau secrétaire sont les suivantes : M. Jonathan Lebrun, rue Emile </w:t>
      </w:r>
      <w:proofErr w:type="spellStart"/>
      <w:r>
        <w:rPr>
          <w:lang w:val="fr-BE" w:eastAsia="en-US"/>
        </w:rPr>
        <w:t>Nève</w:t>
      </w:r>
      <w:proofErr w:type="spellEnd"/>
      <w:r>
        <w:rPr>
          <w:lang w:val="fr-BE" w:eastAsia="en-US"/>
        </w:rPr>
        <w:t xml:space="preserve">, 34 à 7100 La Louvière. GSM : 0477/444 203. E-mail principal : </w:t>
      </w:r>
      <w:hyperlink r:id="rId10" w:history="1">
        <w:r w:rsidRPr="00FA30A1">
          <w:rPr>
            <w:rStyle w:val="Lienhypertexte"/>
            <w:lang w:val="fr-BE" w:eastAsia="en-US"/>
          </w:rPr>
          <w:t>secretariat@raclo.be</w:t>
        </w:r>
      </w:hyperlink>
      <w:r>
        <w:rPr>
          <w:lang w:val="fr-BE" w:eastAsia="en-US"/>
        </w:rPr>
        <w:t xml:space="preserve"> E-mail secondaire : </w:t>
      </w:r>
      <w:hyperlink r:id="rId11" w:history="1">
        <w:r w:rsidRPr="00FA30A1">
          <w:rPr>
            <w:rStyle w:val="Lienhypertexte"/>
            <w:lang w:val="fr-BE" w:eastAsia="en-US"/>
          </w:rPr>
          <w:t>jonathan.lebrun@ymail.com</w:t>
        </w:r>
      </w:hyperlink>
    </w:p>
    <w:p w:rsidR="00C91994" w:rsidRPr="00627BE8" w:rsidRDefault="00C91994" w:rsidP="006719FB">
      <w:pPr>
        <w:rPr>
          <w:bCs/>
          <w:szCs w:val="20"/>
        </w:rPr>
      </w:pPr>
    </w:p>
    <w:p w:rsidR="006719FB" w:rsidRDefault="006719FB" w:rsidP="006719FB">
      <w:pPr>
        <w:pStyle w:val="Titre2"/>
        <w:numPr>
          <w:ilvl w:val="1"/>
          <w:numId w:val="7"/>
        </w:numPr>
      </w:pPr>
      <w:bookmarkStart w:id="13" w:name="_Toc465420605"/>
      <w:r>
        <w:t>Communiqué de l’ARCH – cross du dimanche 6 novembre</w:t>
      </w:r>
      <w:bookmarkEnd w:id="13"/>
    </w:p>
    <w:p w:rsidR="008271C2" w:rsidRDefault="006719FB">
      <w:pPr>
        <w:rPr>
          <w:lang w:val="fr-BE"/>
        </w:rPr>
      </w:pPr>
      <w:r>
        <w:rPr>
          <w:lang w:val="fr-BE"/>
        </w:rPr>
        <w:t>Veuillez noter que l’ARCH organise un cross le dimanche 6 novembre 2016. Les pré-inscriptions sont fortement conseillées au vu du port, lors de cette course, d’un dossard spécifique avec puce intégrée.</w:t>
      </w:r>
    </w:p>
    <w:p w:rsidR="006719FB" w:rsidRDefault="006719FB">
      <w:pPr>
        <w:rPr>
          <w:lang w:val="fr-BE"/>
        </w:rPr>
      </w:pPr>
    </w:p>
    <w:p w:rsidR="006719FB" w:rsidRPr="006719FB" w:rsidRDefault="006719FB">
      <w:pPr>
        <w:rPr>
          <w:lang w:val="fr-BE"/>
        </w:rPr>
      </w:pPr>
      <w:r>
        <w:rPr>
          <w:lang w:val="fr-BE"/>
        </w:rPr>
        <w:t>Veuillez trouver toutes les informations utiles en annexe.</w:t>
      </w:r>
    </w:p>
    <w:sectPr w:rsidR="006719FB" w:rsidRPr="006719FB" w:rsidSect="00AC75FE">
      <w:footerReference w:type="even" r:id="rId12"/>
      <w:footerReference w:type="default" r:id="rId13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E2" w:rsidRDefault="007B7BE2">
      <w:r>
        <w:separator/>
      </w:r>
    </w:p>
  </w:endnote>
  <w:endnote w:type="continuationSeparator" w:id="0">
    <w:p w:rsidR="007B7BE2" w:rsidRDefault="007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Default="005E528A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13D" w:rsidRDefault="007B7BE2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Pr="00B26792" w:rsidRDefault="005E528A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3A2F8D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3A2F8D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F9013D" w:rsidRPr="006121F1" w:rsidRDefault="005E528A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E2" w:rsidRDefault="007B7BE2">
      <w:r>
        <w:separator/>
      </w:r>
    </w:p>
  </w:footnote>
  <w:footnote w:type="continuationSeparator" w:id="0">
    <w:p w:rsidR="007B7BE2" w:rsidRDefault="007B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606AA"/>
    <w:multiLevelType w:val="hybridMultilevel"/>
    <w:tmpl w:val="D35AE1C4"/>
    <w:lvl w:ilvl="0" w:tplc="D640F1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F855AC"/>
    <w:multiLevelType w:val="multilevel"/>
    <w:tmpl w:val="F45E5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EE80374"/>
    <w:multiLevelType w:val="multilevel"/>
    <w:tmpl w:val="ED7C3B1C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4"/>
    <w:rsid w:val="00197498"/>
    <w:rsid w:val="003633C3"/>
    <w:rsid w:val="00390600"/>
    <w:rsid w:val="003A2F8D"/>
    <w:rsid w:val="003B6E3C"/>
    <w:rsid w:val="004E6387"/>
    <w:rsid w:val="004F1FF2"/>
    <w:rsid w:val="005709E4"/>
    <w:rsid w:val="005B187D"/>
    <w:rsid w:val="005E528A"/>
    <w:rsid w:val="006719FB"/>
    <w:rsid w:val="006B3FE6"/>
    <w:rsid w:val="007B7BE2"/>
    <w:rsid w:val="007E5A48"/>
    <w:rsid w:val="0080150D"/>
    <w:rsid w:val="008271C2"/>
    <w:rsid w:val="00966420"/>
    <w:rsid w:val="00B223AE"/>
    <w:rsid w:val="00C45901"/>
    <w:rsid w:val="00C47727"/>
    <w:rsid w:val="00C91994"/>
    <w:rsid w:val="00CB20E2"/>
    <w:rsid w:val="00D25AD6"/>
    <w:rsid w:val="00E44283"/>
    <w:rsid w:val="00F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1CF9-2C53-43DF-9BDF-4792D42F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94"/>
    <w:pPr>
      <w:spacing w:after="0" w:line="240" w:lineRule="auto"/>
      <w:jc w:val="both"/>
    </w:pPr>
    <w:rPr>
      <w:rFonts w:ascii="Arial" w:eastAsia="PMingLiU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91994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91994"/>
    <w:pPr>
      <w:keepNext/>
      <w:numPr>
        <w:ilvl w:val="1"/>
        <w:numId w:val="1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C9199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919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C919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C919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919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C919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C9199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91994"/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C91994"/>
    <w:rPr>
      <w:rFonts w:ascii="Arial" w:eastAsia="PMingLiU" w:hAnsi="Arial" w:cs="Arial"/>
      <w:b/>
      <w:iCs/>
      <w:szCs w:val="20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C91994"/>
    <w:rPr>
      <w:rFonts w:ascii="Arial" w:eastAsia="PMingLiU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C91994"/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C91994"/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C91994"/>
    <w:rPr>
      <w:rFonts w:ascii="Times New Roman" w:eastAsia="PMingLiU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sid w:val="00C91994"/>
    <w:rPr>
      <w:rFonts w:ascii="Times New Roman" w:eastAsia="PMingLiU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C91994"/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C91994"/>
    <w:rPr>
      <w:rFonts w:ascii="Arial" w:eastAsia="PMingLiU" w:hAnsi="Arial" w:cs="Arial"/>
      <w:lang w:val="fr-FR" w:eastAsia="fr-FR"/>
    </w:rPr>
  </w:style>
  <w:style w:type="character" w:styleId="Lienhypertexte">
    <w:name w:val="Hyperlink"/>
    <w:basedOn w:val="Policepardfaut"/>
    <w:uiPriority w:val="99"/>
    <w:rsid w:val="00C91994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C91994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Pieddepage">
    <w:name w:val="footer"/>
    <w:basedOn w:val="Normal"/>
    <w:link w:val="PieddepageCar"/>
    <w:uiPriority w:val="99"/>
    <w:rsid w:val="00C91994"/>
    <w:pPr>
      <w:tabs>
        <w:tab w:val="center" w:pos="4536"/>
        <w:tab w:val="right" w:pos="9072"/>
      </w:tabs>
      <w:spacing w:before="120"/>
    </w:pPr>
  </w:style>
  <w:style w:type="character" w:customStyle="1" w:styleId="PieddepageCar">
    <w:name w:val="Pied de page Car"/>
    <w:basedOn w:val="Policepardfaut"/>
    <w:link w:val="Pieddepage"/>
    <w:uiPriority w:val="99"/>
    <w:rsid w:val="00C91994"/>
    <w:rPr>
      <w:rFonts w:ascii="Arial" w:eastAsia="PMingLiU" w:hAnsi="Arial" w:cs="Times New Roman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C91994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C91994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M2">
    <w:name w:val="toc 2"/>
    <w:basedOn w:val="Normal"/>
    <w:next w:val="Normal"/>
    <w:autoRedefine/>
    <w:uiPriority w:val="39"/>
    <w:rsid w:val="00C91994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paragraph" w:styleId="Paragraphedeliste">
    <w:name w:val="List Paragraph"/>
    <w:basedOn w:val="Normal"/>
    <w:uiPriority w:val="99"/>
    <w:qFormat/>
    <w:rsid w:val="00C9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than.lebrun@y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@raclo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adumont1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7A36-A96C-4A97-87C9-8E401C11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18</cp:revision>
  <dcterms:created xsi:type="dcterms:W3CDTF">2016-10-27T08:56:00Z</dcterms:created>
  <dcterms:modified xsi:type="dcterms:W3CDTF">2016-10-28T10:21:00Z</dcterms:modified>
</cp:coreProperties>
</file>